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85EDC" w14:textId="77777777" w:rsidR="000E34BD" w:rsidRDefault="000E34BD" w:rsidP="000E34BD">
      <w:pPr>
        <w:jc w:val="center"/>
        <w:rPr>
          <w:rFonts w:ascii="Courier New" w:eastAsia="Times New Roman" w:hAnsi="Courier New" w:cs="Times New Roman"/>
          <w:color w:val="000000"/>
        </w:rPr>
      </w:pPr>
      <w:r w:rsidRPr="000E34BD">
        <w:rPr>
          <w:rFonts w:ascii="Courier New" w:eastAsia="Times New Roman" w:hAnsi="Courier New" w:cs="Times New Roman"/>
          <w:color w:val="000000"/>
        </w:rPr>
        <w:t>AN ACT</w:t>
      </w:r>
    </w:p>
    <w:p w14:paraId="4E2BCEED" w14:textId="77777777" w:rsidR="000E34BD" w:rsidRPr="000E34BD" w:rsidRDefault="000E34BD" w:rsidP="000E34BD">
      <w:pPr>
        <w:jc w:val="center"/>
        <w:rPr>
          <w:rFonts w:ascii="Times" w:eastAsia="Times New Roman" w:hAnsi="Times" w:cs="Times New Roman"/>
          <w:sz w:val="20"/>
          <w:szCs w:val="20"/>
        </w:rPr>
      </w:pPr>
    </w:p>
    <w:p w14:paraId="01AE2C00" w14:textId="3ADF57E9" w:rsidR="00C0416F" w:rsidRPr="00C0416F" w:rsidRDefault="000E34BD">
      <w:pPr>
        <w:rPr>
          <w:rFonts w:ascii="Times" w:eastAsia="Times New Roman" w:hAnsi="Times" w:cs="Times New Roman"/>
          <w:sz w:val="20"/>
          <w:szCs w:val="20"/>
        </w:rPr>
      </w:pPr>
      <w:r w:rsidRPr="000E34BD">
        <w:rPr>
          <w:rFonts w:ascii="Courier New" w:eastAsia="Times New Roman" w:hAnsi="Courier New" w:cs="Times New Roman"/>
          <w:color w:val="000000"/>
        </w:rPr>
        <w:t xml:space="preserve">Amending the act of May 17, 1921 </w:t>
      </w:r>
      <w:r>
        <w:rPr>
          <w:rFonts w:ascii="Courier New" w:eastAsia="Times New Roman" w:hAnsi="Courier New" w:cs="Times New Roman"/>
          <w:color w:val="000000"/>
        </w:rPr>
        <w:t xml:space="preserve">(P.L.682, No.284), entitled "An </w:t>
      </w:r>
      <w:r w:rsidRPr="000E34BD">
        <w:rPr>
          <w:rFonts w:ascii="Courier New" w:eastAsia="Times New Roman" w:hAnsi="Courier New" w:cs="Times New Roman"/>
          <w:color w:val="000000"/>
        </w:rPr>
        <w:t>act relating to ins</w:t>
      </w:r>
      <w:r>
        <w:rPr>
          <w:rFonts w:ascii="Courier New" w:eastAsia="Times New Roman" w:hAnsi="Courier New" w:cs="Times New Roman"/>
          <w:color w:val="000000"/>
        </w:rPr>
        <w:t xml:space="preserve">urance; amending, revising, and </w:t>
      </w:r>
      <w:r w:rsidRPr="000E34BD">
        <w:rPr>
          <w:rFonts w:ascii="Courier New" w:eastAsia="Times New Roman" w:hAnsi="Courier New" w:cs="Times New Roman"/>
          <w:color w:val="000000"/>
        </w:rPr>
        <w:t>consolidating the law pro</w:t>
      </w:r>
      <w:r>
        <w:rPr>
          <w:rFonts w:ascii="Courier New" w:eastAsia="Times New Roman" w:hAnsi="Courier New" w:cs="Times New Roman"/>
          <w:color w:val="000000"/>
        </w:rPr>
        <w:t xml:space="preserve">viding for the incorporation of </w:t>
      </w:r>
      <w:r w:rsidRPr="000E34BD">
        <w:rPr>
          <w:rFonts w:ascii="Courier New" w:eastAsia="Times New Roman" w:hAnsi="Courier New" w:cs="Times New Roman"/>
          <w:color w:val="000000"/>
        </w:rPr>
        <w:t>insurance companies, and t</w:t>
      </w:r>
      <w:r>
        <w:rPr>
          <w:rFonts w:ascii="Courier New" w:eastAsia="Times New Roman" w:hAnsi="Courier New" w:cs="Times New Roman"/>
          <w:color w:val="000000"/>
        </w:rPr>
        <w:t xml:space="preserve">he regulation, supervision, and </w:t>
      </w:r>
      <w:r w:rsidRPr="000E34BD">
        <w:rPr>
          <w:rFonts w:ascii="Courier New" w:eastAsia="Times New Roman" w:hAnsi="Courier New" w:cs="Times New Roman"/>
          <w:color w:val="000000"/>
        </w:rPr>
        <w:t>protection of home and fore</w:t>
      </w:r>
      <w:r>
        <w:rPr>
          <w:rFonts w:ascii="Courier New" w:eastAsia="Times New Roman" w:hAnsi="Courier New" w:cs="Times New Roman"/>
          <w:color w:val="000000"/>
        </w:rPr>
        <w:t xml:space="preserve">ign insurance companies, Lloyds </w:t>
      </w:r>
      <w:r w:rsidRPr="000E34BD">
        <w:rPr>
          <w:rFonts w:ascii="Courier New" w:eastAsia="Times New Roman" w:hAnsi="Courier New" w:cs="Times New Roman"/>
          <w:color w:val="000000"/>
        </w:rPr>
        <w:t>associations, reciprocal and inter-insuran</w:t>
      </w:r>
      <w:r>
        <w:rPr>
          <w:rFonts w:ascii="Courier New" w:eastAsia="Times New Roman" w:hAnsi="Courier New" w:cs="Times New Roman"/>
          <w:color w:val="000000"/>
        </w:rPr>
        <w:t xml:space="preserve">ce exchanges, and </w:t>
      </w:r>
      <w:r w:rsidRPr="000E34BD">
        <w:rPr>
          <w:rFonts w:ascii="Courier New" w:eastAsia="Times New Roman" w:hAnsi="Courier New" w:cs="Times New Roman"/>
          <w:color w:val="000000"/>
        </w:rPr>
        <w:t xml:space="preserve">fire insurance rating </w:t>
      </w:r>
      <w:r>
        <w:rPr>
          <w:rFonts w:ascii="Courier New" w:eastAsia="Times New Roman" w:hAnsi="Courier New" w:cs="Times New Roman"/>
          <w:color w:val="000000"/>
        </w:rPr>
        <w:t xml:space="preserve">bureaus, and the regulation and </w:t>
      </w:r>
      <w:r w:rsidRPr="000E34BD">
        <w:rPr>
          <w:rFonts w:ascii="Courier New" w:eastAsia="Times New Roman" w:hAnsi="Courier New" w:cs="Times New Roman"/>
          <w:color w:val="000000"/>
        </w:rPr>
        <w:t>supervision of insur</w:t>
      </w:r>
      <w:r>
        <w:rPr>
          <w:rFonts w:ascii="Courier New" w:eastAsia="Times New Roman" w:hAnsi="Courier New" w:cs="Times New Roman"/>
          <w:color w:val="000000"/>
        </w:rPr>
        <w:t xml:space="preserve">ance carried by such companies, </w:t>
      </w:r>
      <w:r w:rsidRPr="000E34BD">
        <w:rPr>
          <w:rFonts w:ascii="Courier New" w:eastAsia="Times New Roman" w:hAnsi="Courier New" w:cs="Times New Roman"/>
          <w:color w:val="000000"/>
        </w:rPr>
        <w:t>associations, and exchanges,</w:t>
      </w:r>
      <w:r>
        <w:rPr>
          <w:rFonts w:ascii="Courier New" w:eastAsia="Times New Roman" w:hAnsi="Courier New" w:cs="Times New Roman"/>
          <w:color w:val="000000"/>
        </w:rPr>
        <w:t xml:space="preserve"> including insurance carried by </w:t>
      </w:r>
      <w:r w:rsidRPr="000E34BD">
        <w:rPr>
          <w:rFonts w:ascii="Courier New" w:eastAsia="Times New Roman" w:hAnsi="Courier New" w:cs="Times New Roman"/>
          <w:color w:val="000000"/>
        </w:rPr>
        <w:t>the State Workmen's Insurance</w:t>
      </w:r>
      <w:r>
        <w:rPr>
          <w:rFonts w:ascii="Courier New" w:eastAsia="Times New Roman" w:hAnsi="Courier New" w:cs="Times New Roman"/>
          <w:color w:val="000000"/>
        </w:rPr>
        <w:t xml:space="preserve"> Fund; providing penalties; and </w:t>
      </w:r>
      <w:r w:rsidRPr="000E34BD">
        <w:rPr>
          <w:rFonts w:ascii="Courier New" w:eastAsia="Times New Roman" w:hAnsi="Courier New" w:cs="Times New Roman"/>
          <w:color w:val="000000"/>
        </w:rPr>
        <w:t>repealing existing laws,"</w:t>
      </w:r>
      <w:r>
        <w:rPr>
          <w:rFonts w:ascii="Courier New" w:eastAsia="Times New Roman" w:hAnsi="Courier New" w:cs="Times New Roman"/>
          <w:color w:val="000000"/>
        </w:rPr>
        <w:t xml:space="preserve"> in casualty insurance, </w:t>
      </w:r>
      <w:r w:rsidR="00C0416F">
        <w:rPr>
          <w:rFonts w:ascii="Courier New" w:eastAsia="Times New Roman" w:hAnsi="Courier New" w:cs="Times New Roman"/>
          <w:color w:val="000000"/>
        </w:rPr>
        <w:t>for the regulation of health insurance practices concerning parity and nondiscrimination</w:t>
      </w:r>
      <w:r w:rsidR="0051216A">
        <w:rPr>
          <w:rFonts w:ascii="Courier New" w:eastAsia="Times New Roman" w:hAnsi="Courier New" w:cs="Times New Roman"/>
          <w:color w:val="000000"/>
        </w:rPr>
        <w:t>.</w:t>
      </w:r>
    </w:p>
    <w:p w14:paraId="11DA9D92" w14:textId="77777777" w:rsidR="00C0416F" w:rsidRDefault="00C0416F"/>
    <w:p w14:paraId="0ADBABE8" w14:textId="77777777" w:rsidR="000E34BD" w:rsidRPr="000E34BD" w:rsidRDefault="000E34BD" w:rsidP="000E34BD">
      <w:pPr>
        <w:rPr>
          <w:rFonts w:ascii="Times" w:eastAsia="Times New Roman" w:hAnsi="Times" w:cs="Times New Roman"/>
          <w:sz w:val="20"/>
          <w:szCs w:val="20"/>
        </w:rPr>
      </w:pPr>
      <w:r w:rsidRPr="000E34BD">
        <w:rPr>
          <w:rFonts w:ascii="Courier New" w:eastAsia="Times New Roman" w:hAnsi="Courier New" w:cs="Times New Roman"/>
          <w:color w:val="000000"/>
        </w:rPr>
        <w:t>The General Assembly of t</w:t>
      </w:r>
      <w:r>
        <w:rPr>
          <w:rFonts w:ascii="Courier New" w:eastAsia="Times New Roman" w:hAnsi="Courier New" w:cs="Times New Roman"/>
          <w:color w:val="000000"/>
        </w:rPr>
        <w:t xml:space="preserve">he Commonwealth of Pennsylvania </w:t>
      </w:r>
      <w:r w:rsidRPr="000E34BD">
        <w:rPr>
          <w:rFonts w:ascii="Courier New" w:eastAsia="Times New Roman" w:hAnsi="Courier New" w:cs="Times New Roman"/>
          <w:color w:val="000000"/>
        </w:rPr>
        <w:t>hereby enacts as follows:</w:t>
      </w:r>
    </w:p>
    <w:p w14:paraId="285EA0CD" w14:textId="77777777" w:rsidR="000E34BD" w:rsidRDefault="000E34BD"/>
    <w:p w14:paraId="514B90D1" w14:textId="77777777" w:rsidR="000E34BD" w:rsidRDefault="009C5520" w:rsidP="00D7518E">
      <w:pPr>
        <w:ind w:firstLine="720"/>
        <w:rPr>
          <w:rFonts w:ascii="Courier New" w:eastAsia="Times New Roman" w:hAnsi="Courier New" w:cs="Times New Roman"/>
          <w:color w:val="000000"/>
        </w:rPr>
      </w:pPr>
      <w:r>
        <w:rPr>
          <w:rFonts w:ascii="Courier New" w:eastAsia="Times New Roman" w:hAnsi="Courier New" w:cs="Times New Roman"/>
          <w:color w:val="000000"/>
        </w:rPr>
        <w:t xml:space="preserve">Section 1. Section </w:t>
      </w:r>
      <w:r w:rsidR="00607867">
        <w:rPr>
          <w:rFonts w:ascii="Courier New" w:eastAsia="Times New Roman" w:hAnsi="Courier New" w:cs="Times New Roman"/>
          <w:color w:val="000000"/>
        </w:rPr>
        <w:t>604-B</w:t>
      </w:r>
      <w:r w:rsidR="000E34BD">
        <w:rPr>
          <w:rFonts w:ascii="Courier New" w:eastAsia="Times New Roman" w:hAnsi="Courier New" w:cs="Times New Roman"/>
          <w:color w:val="000000"/>
        </w:rPr>
        <w:t xml:space="preserve"> of the act of May 17, 1921 </w:t>
      </w:r>
      <w:r w:rsidR="000E34BD" w:rsidRPr="000E34BD">
        <w:rPr>
          <w:rFonts w:ascii="Courier New" w:eastAsia="Times New Roman" w:hAnsi="Courier New" w:cs="Times New Roman"/>
          <w:color w:val="000000"/>
        </w:rPr>
        <w:t>(P.L.682, No.284), known as The</w:t>
      </w:r>
      <w:r w:rsidR="000E34BD">
        <w:rPr>
          <w:rFonts w:ascii="Courier New" w:eastAsia="Times New Roman" w:hAnsi="Courier New" w:cs="Times New Roman"/>
          <w:color w:val="000000"/>
        </w:rPr>
        <w:t xml:space="preserve"> Insurance Company Law of 1921, </w:t>
      </w:r>
      <w:r w:rsidR="000E34BD" w:rsidRPr="000E34BD">
        <w:rPr>
          <w:rFonts w:ascii="Courier New" w:eastAsia="Times New Roman" w:hAnsi="Courier New" w:cs="Times New Roman"/>
          <w:color w:val="000000"/>
        </w:rPr>
        <w:t xml:space="preserve">added </w:t>
      </w:r>
      <w:r>
        <w:rPr>
          <w:rFonts w:ascii="Courier New" w:eastAsia="Times New Roman" w:hAnsi="Courier New" w:cs="Times New Roman"/>
          <w:color w:val="000000"/>
        </w:rPr>
        <w:t>March 22, 2010 (P.L.147, No.14</w:t>
      </w:r>
      <w:r w:rsidR="000E34BD" w:rsidRPr="000E34BD">
        <w:rPr>
          <w:rFonts w:ascii="Courier New" w:eastAsia="Times New Roman" w:hAnsi="Courier New" w:cs="Times New Roman"/>
          <w:color w:val="000000"/>
        </w:rPr>
        <w:t>), is amended to read:</w:t>
      </w:r>
    </w:p>
    <w:p w14:paraId="5AFF928B" w14:textId="77777777" w:rsidR="000E34BD" w:rsidRDefault="000E34BD" w:rsidP="000E34BD">
      <w:pPr>
        <w:rPr>
          <w:rFonts w:ascii="Courier New" w:eastAsia="Times New Roman" w:hAnsi="Courier New" w:cs="Times New Roman"/>
          <w:color w:val="000000"/>
        </w:rPr>
      </w:pPr>
    </w:p>
    <w:p w14:paraId="05A62C88" w14:textId="2E468BF4" w:rsidR="00607867" w:rsidRDefault="00607867" w:rsidP="00056238">
      <w:pPr>
        <w:rPr>
          <w:rFonts w:ascii="Courier New" w:eastAsia="Times New Roman" w:hAnsi="Courier New" w:cs="Times New Roman"/>
          <w:color w:val="000000"/>
        </w:rPr>
      </w:pPr>
      <w:r w:rsidRPr="00607867">
        <w:rPr>
          <w:rFonts w:ascii="Courier New" w:eastAsia="Times New Roman" w:hAnsi="Courier New" w:cs="Times New Roman"/>
          <w:color w:val="000000"/>
        </w:rPr>
        <w:t>Section 604-B. Adoption of</w:t>
      </w:r>
      <w:r>
        <w:rPr>
          <w:rFonts w:ascii="Courier New" w:eastAsia="Times New Roman" w:hAnsi="Courier New" w:cs="Times New Roman"/>
          <w:color w:val="000000"/>
        </w:rPr>
        <w:t xml:space="preserve"> </w:t>
      </w:r>
      <w:r w:rsidRPr="00607867">
        <w:rPr>
          <w:rFonts w:ascii="Courier New" w:eastAsia="Times New Roman" w:hAnsi="Courier New" w:cs="Times New Roman"/>
          <w:color w:val="000000"/>
          <w:u w:val="single"/>
        </w:rPr>
        <w:t>and Compliance with</w:t>
      </w:r>
      <w:r w:rsidRPr="00607867">
        <w:rPr>
          <w:rFonts w:ascii="Courier New" w:eastAsia="Times New Roman" w:hAnsi="Courier New" w:cs="Times New Roman"/>
          <w:color w:val="000000"/>
        </w:rPr>
        <w:t xml:space="preserve"> Federal acts.</w:t>
      </w:r>
    </w:p>
    <w:p w14:paraId="53070412" w14:textId="1BD113C6" w:rsidR="00607867" w:rsidRDefault="0033018B" w:rsidP="00A85E36">
      <w:pPr>
        <w:ind w:firstLine="720"/>
        <w:rPr>
          <w:rFonts w:ascii="Courier New" w:eastAsia="Times New Roman" w:hAnsi="Courier New" w:cs="Times New Roman"/>
          <w:color w:val="000000"/>
        </w:rPr>
      </w:pPr>
      <w:r>
        <w:rPr>
          <w:rFonts w:ascii="Courier New" w:eastAsia="Times New Roman" w:hAnsi="Courier New" w:cs="Times New Roman"/>
          <w:color w:val="000000"/>
          <w:u w:val="single"/>
        </w:rPr>
        <w:t>(a</w:t>
      </w:r>
      <w:r w:rsidR="00607867" w:rsidRPr="00607867">
        <w:rPr>
          <w:rFonts w:ascii="Courier New" w:eastAsia="Times New Roman" w:hAnsi="Courier New" w:cs="Times New Roman"/>
          <w:color w:val="000000"/>
          <w:u w:val="single"/>
        </w:rPr>
        <w:t>)</w:t>
      </w:r>
      <w:r w:rsidR="00D21E87">
        <w:rPr>
          <w:rFonts w:ascii="Courier New" w:eastAsia="Times New Roman" w:hAnsi="Courier New" w:cs="Times New Roman"/>
          <w:color w:val="000000"/>
          <w:u w:val="single"/>
        </w:rPr>
        <w:tab/>
      </w:r>
      <w:r w:rsidR="00607867" w:rsidRPr="00607867">
        <w:rPr>
          <w:rFonts w:ascii="Courier New" w:eastAsia="Times New Roman" w:hAnsi="Courier New" w:cs="Times New Roman"/>
          <w:color w:val="000000"/>
        </w:rPr>
        <w:t>Insurers shall comply with the Federal acts as contained in sections 2701, 2702, 2705, 2707, 2721, 2753 and 2754 of the Public Health Service Act (58 Stat. 682, 42 U.S.C. §§ 300gg, 300gg-1, 300gg-5, 300gg-7, 300gg-21, 300gg-53 and 300gg-54).</w:t>
      </w:r>
      <w:r w:rsidR="001A6337">
        <w:rPr>
          <w:rFonts w:ascii="Courier New" w:eastAsia="Times New Roman" w:hAnsi="Courier New" w:cs="Times New Roman"/>
          <w:color w:val="000000"/>
        </w:rPr>
        <w:t xml:space="preserve"> </w:t>
      </w:r>
    </w:p>
    <w:p w14:paraId="1AF03602" w14:textId="5ABCEBF0" w:rsidR="007355D6" w:rsidRDefault="0033018B"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(b</w:t>
      </w:r>
      <w:r w:rsidR="00424011">
        <w:rPr>
          <w:rFonts w:ascii="Courier New" w:eastAsia="Times New Roman" w:hAnsi="Courier New" w:cs="Times New Roman"/>
          <w:color w:val="000000"/>
          <w:u w:val="single"/>
        </w:rPr>
        <w:t>) Each insurer</w:t>
      </w:r>
      <w:r w:rsidR="007355D6">
        <w:rPr>
          <w:rFonts w:ascii="Courier New" w:eastAsia="Times New Roman" w:hAnsi="Courier New" w:cs="Times New Roman"/>
          <w:color w:val="000000"/>
          <w:u w:val="single"/>
        </w:rPr>
        <w:t xml:space="preserve"> shall</w:t>
      </w:r>
      <w:r w:rsidR="007355D6" w:rsidRPr="007355D6">
        <w:rPr>
          <w:rFonts w:ascii="Courier New" w:eastAsia="Times New Roman" w:hAnsi="Courier New" w:cs="Times New Roman"/>
          <w:color w:val="000000"/>
          <w:u w:val="single"/>
        </w:rPr>
        <w:t xml:space="preserve"> submit an annual report to the </w:t>
      </w:r>
      <w:r w:rsidR="007355D6">
        <w:rPr>
          <w:rFonts w:ascii="Courier New" w:eastAsia="Times New Roman" w:hAnsi="Courier New" w:cs="Times New Roman"/>
          <w:iCs/>
          <w:color w:val="000000"/>
          <w:u w:val="single"/>
        </w:rPr>
        <w:t>Department</w:t>
      </w:r>
      <w:r w:rsidR="007355D6" w:rsidRPr="007355D6">
        <w:rPr>
          <w:rFonts w:ascii="Courier New" w:eastAsia="Times New Roman" w:hAnsi="Courier New" w:cs="Times New Roman"/>
          <w:color w:val="000000"/>
          <w:u w:val="single"/>
        </w:rPr>
        <w:t xml:space="preserve"> on or before </w:t>
      </w:r>
      <w:r w:rsidR="007355D6">
        <w:rPr>
          <w:rFonts w:ascii="Courier New" w:eastAsia="Times New Roman" w:hAnsi="Courier New" w:cs="Times New Roman"/>
          <w:iCs/>
          <w:color w:val="000000"/>
          <w:u w:val="single"/>
        </w:rPr>
        <w:t>March 1</w:t>
      </w:r>
      <w:r w:rsidR="007355D6" w:rsidRPr="007355D6">
        <w:rPr>
          <w:rFonts w:ascii="Courier New" w:eastAsia="Times New Roman" w:hAnsi="Courier New" w:cs="Times New Roman"/>
          <w:color w:val="000000"/>
          <w:u w:val="single"/>
        </w:rPr>
        <w:t xml:space="preserve"> that contains the following information</w:t>
      </w:r>
      <w:r w:rsidR="007355D6">
        <w:rPr>
          <w:rFonts w:ascii="Courier New" w:eastAsia="Times New Roman" w:hAnsi="Courier New" w:cs="Times New Roman"/>
          <w:color w:val="000000"/>
          <w:u w:val="single"/>
        </w:rPr>
        <w:t>:</w:t>
      </w:r>
    </w:p>
    <w:p w14:paraId="2DE70417" w14:textId="7E2D7D8E" w:rsidR="00436423" w:rsidRDefault="00E13AE0"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 xml:space="preserve"> (1</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r>
      <w:r w:rsidR="00436423" w:rsidRPr="00436423">
        <w:rPr>
          <w:rFonts w:ascii="Courier New" w:eastAsia="Times New Roman" w:hAnsi="Courier New" w:cs="Times New Roman"/>
          <w:color w:val="000000"/>
          <w:u w:val="single"/>
        </w:rPr>
        <w:t xml:space="preserve">A description of the process used to develop or select the medical necessity criteria for </w:t>
      </w:r>
      <w:r w:rsidR="00436423" w:rsidRPr="00C21EC0">
        <w:rPr>
          <w:rFonts w:ascii="Courier New" w:eastAsia="Times New Roman" w:hAnsi="Courier New" w:cs="Times New Roman"/>
          <w:color w:val="000000"/>
          <w:u w:val="single"/>
        </w:rPr>
        <w:t xml:space="preserve">mental health </w:t>
      </w:r>
      <w:r w:rsidR="00436423" w:rsidRPr="00436423">
        <w:rPr>
          <w:rFonts w:ascii="Courier New" w:eastAsia="Times New Roman" w:hAnsi="Courier New" w:cs="Times New Roman"/>
          <w:color w:val="000000"/>
          <w:u w:val="single"/>
        </w:rPr>
        <w:t>benefits</w:t>
      </w:r>
      <w:r>
        <w:rPr>
          <w:rFonts w:ascii="Courier New" w:eastAsia="Times New Roman" w:hAnsi="Courier New" w:cs="Times New Roman"/>
          <w:i/>
          <w:color w:val="000000"/>
          <w:u w:val="single"/>
        </w:rPr>
        <w:t xml:space="preserve"> </w:t>
      </w:r>
      <w:r>
        <w:rPr>
          <w:rFonts w:ascii="Courier New" w:eastAsia="Times New Roman" w:hAnsi="Courier New" w:cs="Times New Roman"/>
          <w:color w:val="000000"/>
          <w:u w:val="single"/>
        </w:rPr>
        <w:t>and</w:t>
      </w:r>
      <w:r w:rsidR="00436423" w:rsidRPr="00436423">
        <w:rPr>
          <w:rFonts w:ascii="Courier New" w:eastAsia="Times New Roman" w:hAnsi="Courier New" w:cs="Times New Roman"/>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436423" w:rsidRPr="00C21EC0">
        <w:rPr>
          <w:rFonts w:ascii="Courier New" w:eastAsia="Times New Roman" w:hAnsi="Courier New" w:cs="Times New Roman"/>
          <w:color w:val="000000"/>
          <w:u w:val="single"/>
        </w:rPr>
        <w:t xml:space="preserve"> </w:t>
      </w:r>
      <w:r w:rsidR="00436423" w:rsidRPr="00436423">
        <w:rPr>
          <w:rFonts w:ascii="Courier New" w:eastAsia="Times New Roman" w:hAnsi="Courier New" w:cs="Times New Roman"/>
          <w:color w:val="000000"/>
          <w:u w:val="single"/>
        </w:rPr>
        <w:t>benefits,</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and the process used to develop or select the medical necessity criteria for medical and surgical benefits</w:t>
      </w:r>
      <w:r w:rsidR="006E67DB">
        <w:rPr>
          <w:rFonts w:ascii="Courier New" w:eastAsia="Times New Roman" w:hAnsi="Courier New" w:cs="Times New Roman"/>
          <w:color w:val="000000"/>
          <w:u w:val="single"/>
        </w:rPr>
        <w:t>.</w:t>
      </w:r>
    </w:p>
    <w:p w14:paraId="1309BE32" w14:textId="1BED4A2D" w:rsidR="00436423" w:rsidRDefault="008A3986"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(2</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r>
      <w:r w:rsidR="00436423" w:rsidRPr="00436423">
        <w:rPr>
          <w:rFonts w:ascii="Courier New" w:eastAsia="Times New Roman" w:hAnsi="Courier New" w:cs="Times New Roman"/>
          <w:color w:val="000000"/>
          <w:u w:val="single"/>
        </w:rPr>
        <w:t xml:space="preserve">Identification of all non-quantitative treatment limitations (NQTLs) that are applied to </w:t>
      </w:r>
      <w:r w:rsidR="00436423" w:rsidRPr="00C21EC0">
        <w:rPr>
          <w:rFonts w:ascii="Courier New" w:eastAsia="Times New Roman" w:hAnsi="Courier New" w:cs="Times New Roman"/>
          <w:color w:val="000000"/>
          <w:u w:val="single"/>
        </w:rPr>
        <w:t>mental health</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benefits</w:t>
      </w:r>
      <w:r w:rsidR="00E13AE0">
        <w:rPr>
          <w:rFonts w:ascii="Courier New" w:eastAsia="Times New Roman" w:hAnsi="Courier New" w:cs="Times New Roman"/>
          <w:color w:val="000000"/>
          <w:u w:val="single"/>
        </w:rPr>
        <w:t xml:space="preserve"> and</w:t>
      </w:r>
      <w:r w:rsidR="00436423" w:rsidRPr="00436423">
        <w:rPr>
          <w:rFonts w:ascii="Courier New" w:eastAsia="Times New Roman" w:hAnsi="Courier New" w:cs="Times New Roman"/>
          <w:i/>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C21EC0" w:rsidRPr="00436423">
        <w:rPr>
          <w:rFonts w:ascii="Courier New" w:eastAsia="Times New Roman" w:hAnsi="Courier New" w:cs="Times New Roman"/>
          <w:color w:val="000000"/>
          <w:u w:val="single"/>
        </w:rPr>
        <w:t xml:space="preserve"> </w:t>
      </w:r>
      <w:r w:rsidR="00436423" w:rsidRPr="00436423">
        <w:rPr>
          <w:rFonts w:ascii="Courier New" w:eastAsia="Times New Roman" w:hAnsi="Courier New" w:cs="Times New Roman"/>
          <w:color w:val="000000"/>
          <w:u w:val="single"/>
        </w:rPr>
        <w:t xml:space="preserve">benefits, and all NQTLs that are applied to medical and surgical benefits; </w:t>
      </w:r>
      <w:r w:rsidR="00E13AE0" w:rsidRPr="00E13AE0">
        <w:rPr>
          <w:rFonts w:ascii="Courier New" w:eastAsia="Times New Roman" w:hAnsi="Courier New" w:cs="Times New Roman"/>
          <w:color w:val="000000"/>
          <w:u w:val="single"/>
        </w:rPr>
        <w:t xml:space="preserve">there may be no separate NQTLs that apply to mental health and substance use disorder benefits </w:t>
      </w:r>
      <w:r w:rsidR="00E13AE0" w:rsidRPr="00E13AE0">
        <w:rPr>
          <w:rFonts w:ascii="Courier New" w:eastAsia="Times New Roman" w:hAnsi="Courier New" w:cs="Times New Roman"/>
          <w:color w:val="000000"/>
          <w:u w:val="single"/>
        </w:rPr>
        <w:lastRenderedPageBreak/>
        <w:t>but do not apply to medical and surgical benefits within any classification of benefits</w:t>
      </w:r>
      <w:r w:rsidR="00CD10E8">
        <w:rPr>
          <w:rFonts w:ascii="Courier New" w:eastAsia="Times New Roman" w:hAnsi="Courier New" w:cs="Times New Roman"/>
          <w:color w:val="000000"/>
          <w:u w:val="single"/>
        </w:rPr>
        <w:t>.</w:t>
      </w:r>
    </w:p>
    <w:p w14:paraId="71D2969A" w14:textId="27A00F91" w:rsidR="00436423" w:rsidRDefault="008A3986"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(3</w:t>
      </w:r>
      <w:r w:rsidR="00436423">
        <w:rPr>
          <w:rFonts w:ascii="Courier New" w:eastAsia="Times New Roman" w:hAnsi="Courier New" w:cs="Times New Roman"/>
          <w:color w:val="000000"/>
          <w:u w:val="single"/>
        </w:rPr>
        <w:t>)</w:t>
      </w:r>
      <w:r w:rsidR="00436423">
        <w:rPr>
          <w:rFonts w:ascii="Courier New" w:eastAsia="Times New Roman" w:hAnsi="Courier New" w:cs="Times New Roman"/>
          <w:color w:val="000000"/>
          <w:u w:val="single"/>
        </w:rPr>
        <w:tab/>
        <w:t xml:space="preserve">The </w:t>
      </w:r>
      <w:r w:rsidR="00436423" w:rsidRPr="00436423">
        <w:rPr>
          <w:rFonts w:ascii="Courier New" w:eastAsia="Times New Roman" w:hAnsi="Courier New" w:cs="Times New Roman"/>
          <w:color w:val="000000"/>
          <w:u w:val="single"/>
        </w:rPr>
        <w:t>results of an analysis that demonstrates that for the medical necessi</w:t>
      </w:r>
      <w:r w:rsidR="00C21EC0">
        <w:rPr>
          <w:rFonts w:ascii="Courier New" w:eastAsia="Times New Roman" w:hAnsi="Courier New" w:cs="Times New Roman"/>
          <w:color w:val="000000"/>
          <w:u w:val="single"/>
        </w:rPr>
        <w:t xml:space="preserve">ty criteria described in </w:t>
      </w:r>
      <w:r w:rsidR="007A4214">
        <w:rPr>
          <w:rFonts w:ascii="Courier New" w:eastAsia="Times New Roman" w:hAnsi="Courier New" w:cs="Times New Roman"/>
          <w:color w:val="000000"/>
          <w:u w:val="single"/>
        </w:rPr>
        <w:t>paragraph</w:t>
      </w:r>
      <w:r w:rsidR="00C21EC0">
        <w:rPr>
          <w:rFonts w:ascii="Courier New" w:eastAsia="Times New Roman" w:hAnsi="Courier New" w:cs="Times New Roman"/>
          <w:color w:val="000000"/>
          <w:u w:val="single"/>
        </w:rPr>
        <w:t xml:space="preserve"> (2</w:t>
      </w:r>
      <w:r w:rsidR="00436423" w:rsidRPr="00436423">
        <w:rPr>
          <w:rFonts w:ascii="Courier New" w:eastAsia="Times New Roman" w:hAnsi="Courier New" w:cs="Times New Roman"/>
          <w:color w:val="000000"/>
          <w:u w:val="single"/>
        </w:rPr>
        <w:t>) and for</w:t>
      </w:r>
      <w:r w:rsidR="00C21EC0">
        <w:rPr>
          <w:rFonts w:ascii="Courier New" w:eastAsia="Times New Roman" w:hAnsi="Courier New" w:cs="Times New Roman"/>
          <w:color w:val="000000"/>
          <w:u w:val="single"/>
        </w:rPr>
        <w:t xml:space="preserve"> each NQTL identified in </w:t>
      </w:r>
      <w:r w:rsidR="007A4214">
        <w:rPr>
          <w:rFonts w:ascii="Courier New" w:eastAsia="Times New Roman" w:hAnsi="Courier New" w:cs="Times New Roman"/>
          <w:color w:val="000000"/>
          <w:u w:val="single"/>
        </w:rPr>
        <w:t>paragraph</w:t>
      </w:r>
      <w:r w:rsidR="00C21EC0">
        <w:rPr>
          <w:rFonts w:ascii="Courier New" w:eastAsia="Times New Roman" w:hAnsi="Courier New" w:cs="Times New Roman"/>
          <w:color w:val="000000"/>
          <w:u w:val="single"/>
        </w:rPr>
        <w:t xml:space="preserve"> (3</w:t>
      </w:r>
      <w:r w:rsidR="00436423" w:rsidRPr="00436423">
        <w:rPr>
          <w:rFonts w:ascii="Courier New" w:eastAsia="Times New Roman" w:hAnsi="Courier New" w:cs="Times New Roman"/>
          <w:color w:val="000000"/>
          <w:u w:val="single"/>
        </w:rPr>
        <w:t xml:space="preserve">), as written and in operation, the processes, strategies, evidentiary standards, or other factors used to apply the medical necessity criteria and each NQTL to </w:t>
      </w:r>
      <w:r w:rsidR="00436423" w:rsidRPr="00C21EC0">
        <w:rPr>
          <w:rFonts w:ascii="Courier New" w:eastAsia="Times New Roman" w:hAnsi="Courier New" w:cs="Times New Roman"/>
          <w:color w:val="000000"/>
          <w:u w:val="single"/>
        </w:rPr>
        <w:t>mental health</w:t>
      </w:r>
      <w:r w:rsidR="00436423" w:rsidRPr="00436423">
        <w:rPr>
          <w:rFonts w:ascii="Courier New" w:eastAsia="Times New Roman" w:hAnsi="Courier New" w:cs="Times New Roman"/>
          <w:i/>
          <w:color w:val="000000"/>
          <w:u w:val="single"/>
        </w:rPr>
        <w:t xml:space="preserve"> </w:t>
      </w:r>
      <w:r w:rsidR="00436423" w:rsidRPr="00C21EC0">
        <w:rPr>
          <w:rFonts w:ascii="Courier New" w:eastAsia="Times New Roman" w:hAnsi="Courier New" w:cs="Times New Roman"/>
          <w:color w:val="000000"/>
          <w:u w:val="single"/>
        </w:rPr>
        <w:t>and</w:t>
      </w:r>
      <w:r w:rsidR="00436423" w:rsidRPr="00436423">
        <w:rPr>
          <w:rFonts w:ascii="Courier New" w:eastAsia="Times New Roman" w:hAnsi="Courier New" w:cs="Times New Roman"/>
          <w:i/>
          <w:color w:val="000000"/>
          <w:u w:val="single"/>
        </w:rPr>
        <w:t xml:space="preserve"> </w:t>
      </w:r>
      <w:r w:rsidR="00C21EC0" w:rsidRPr="00C21EC0">
        <w:rPr>
          <w:rFonts w:ascii="Courier New" w:eastAsia="Times New Roman" w:hAnsi="Courier New" w:cs="Times New Roman"/>
          <w:color w:val="000000"/>
          <w:u w:val="single"/>
        </w:rPr>
        <w:t>alcohol or other drug abuse and dependency</w:t>
      </w:r>
      <w:r w:rsidR="00436423" w:rsidRPr="00436423">
        <w:rPr>
          <w:rFonts w:ascii="Courier New" w:eastAsia="Times New Roman" w:hAnsi="Courier New" w:cs="Times New Roman"/>
          <w:i/>
          <w:color w:val="000000"/>
          <w:u w:val="single"/>
        </w:rPr>
        <w:t xml:space="preserve"> </w:t>
      </w:r>
      <w:r w:rsidR="00436423" w:rsidRPr="00436423">
        <w:rPr>
          <w:rFonts w:ascii="Courier New" w:eastAsia="Times New Roman" w:hAnsi="Courier New" w:cs="Times New Roman"/>
          <w:color w:val="000000"/>
          <w:u w:val="single"/>
        </w:rPr>
        <w:t>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60B71123" w14:textId="2D20C9A5" w:rsidR="00E72B57" w:rsidRDefault="0033018B"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0017152C" w:rsidRPr="0017152C">
        <w:rPr>
          <w:rFonts w:ascii="Courier New" w:eastAsia="Times New Roman" w:hAnsi="Courier New" w:cs="Times New Roman"/>
          <w:color w:val="000000"/>
          <w:u w:val="single"/>
        </w:rPr>
        <w:t>Identify the factors used to determine that an NQTL will apply to a benefit, including factors that were considered but rejected</w:t>
      </w:r>
      <w:r w:rsidR="00E72B57">
        <w:rPr>
          <w:rFonts w:ascii="Courier New" w:eastAsia="Times New Roman" w:hAnsi="Courier New" w:cs="Times New Roman"/>
          <w:color w:val="000000"/>
          <w:u w:val="single"/>
        </w:rPr>
        <w:t>.</w:t>
      </w:r>
    </w:p>
    <w:p w14:paraId="73758D32" w14:textId="33CC608F" w:rsidR="00E72B57" w:rsidRDefault="0017152C"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w:t>
      </w:r>
      <w:r w:rsidR="0033018B">
        <w:rPr>
          <w:rFonts w:ascii="Courier New" w:eastAsia="Times New Roman" w:hAnsi="Courier New" w:cs="Times New Roman"/>
          <w:color w:val="000000"/>
          <w:u w:val="single"/>
        </w:rPr>
        <w:t>i)</w:t>
      </w:r>
      <w:r w:rsidR="007F5390">
        <w:rPr>
          <w:rFonts w:ascii="Courier New" w:eastAsia="Times New Roman" w:hAnsi="Courier New" w:cs="Times New Roman"/>
          <w:color w:val="000000"/>
          <w:u w:val="single"/>
        </w:rPr>
        <w:t xml:space="preserve"> </w:t>
      </w:r>
      <w:r w:rsidR="001E58A8" w:rsidRPr="001E58A8">
        <w:rPr>
          <w:rFonts w:ascii="Courier New" w:eastAsia="Times New Roman" w:hAnsi="Courier New" w:cs="Times New Roman"/>
          <w:color w:val="000000"/>
          <w:u w:val="single"/>
        </w:rPr>
        <w:t>Identify and define the specific evidentiary standards used to define the factors and any other evidence relied upon in designing each NQTL</w:t>
      </w:r>
      <w:r w:rsidR="00E72B57">
        <w:rPr>
          <w:rFonts w:ascii="Courier New" w:eastAsia="Times New Roman" w:hAnsi="Courier New" w:cs="Times New Roman"/>
          <w:color w:val="000000"/>
          <w:u w:val="single"/>
        </w:rPr>
        <w:t>.</w:t>
      </w:r>
    </w:p>
    <w:p w14:paraId="6EA88C16" w14:textId="5746ABEE" w:rsidR="00E72B57" w:rsidRDefault="001E58A8"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(iii</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Pr="001E58A8">
        <w:rPr>
          <w:rFonts w:ascii="Courier New" w:eastAsia="Times New Roman" w:hAnsi="Courier New" w:cs="Times New Roman"/>
          <w:color w:val="000000"/>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and </w:t>
      </w:r>
      <w:r w:rsidR="001B4644" w:rsidRPr="00C21EC0">
        <w:rPr>
          <w:rFonts w:ascii="Courier New" w:eastAsia="Times New Roman" w:hAnsi="Courier New" w:cs="Times New Roman"/>
          <w:color w:val="000000"/>
          <w:u w:val="single"/>
        </w:rPr>
        <w:t>alcohol or other drug abuse and dependency</w:t>
      </w:r>
      <w:r w:rsidRPr="001E58A8">
        <w:rPr>
          <w:rFonts w:ascii="Courier New" w:eastAsia="Times New Roman" w:hAnsi="Courier New" w:cs="Times New Roman"/>
          <w:color w:val="000000"/>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sidR="00E72B57">
        <w:rPr>
          <w:rFonts w:ascii="Courier New" w:eastAsia="Times New Roman" w:hAnsi="Courier New" w:cs="Times New Roman"/>
          <w:color w:val="000000"/>
          <w:u w:val="single"/>
        </w:rPr>
        <w:t>.</w:t>
      </w:r>
    </w:p>
    <w:p w14:paraId="45A8D9E8" w14:textId="7B21E391" w:rsidR="00E72B57" w:rsidRDefault="001E58A8" w:rsidP="00A85E36">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(iv</w:t>
      </w:r>
      <w:r w:rsidR="00E72B57">
        <w:rPr>
          <w:rFonts w:ascii="Courier New" w:eastAsia="Times New Roman" w:hAnsi="Courier New" w:cs="Times New Roman"/>
          <w:color w:val="000000"/>
          <w:u w:val="single"/>
        </w:rPr>
        <w:t>)</w:t>
      </w:r>
      <w:r w:rsidR="00E72B57">
        <w:rPr>
          <w:rFonts w:ascii="Courier New" w:eastAsia="Times New Roman" w:hAnsi="Courier New" w:cs="Times New Roman"/>
          <w:color w:val="000000"/>
          <w:u w:val="single"/>
        </w:rPr>
        <w:tab/>
      </w:r>
      <w:r w:rsidRPr="001E58A8">
        <w:rPr>
          <w:rFonts w:ascii="Courier New" w:eastAsia="Times New Roman" w:hAnsi="Courier New" w:cs="Times New Roman"/>
          <w:color w:val="000000"/>
          <w:u w:val="single"/>
        </w:rPr>
        <w:t xml:space="preserve">Provide the comparative analyses, including the results of the analyses, performed to determine that the processes and strategies used to apply each NQTL, in operation, for mental health and </w:t>
      </w:r>
      <w:r w:rsidR="001B4644" w:rsidRPr="00C21EC0">
        <w:rPr>
          <w:rFonts w:ascii="Courier New" w:eastAsia="Times New Roman" w:hAnsi="Courier New" w:cs="Times New Roman"/>
          <w:color w:val="000000"/>
          <w:u w:val="single"/>
        </w:rPr>
        <w:t>alcohol or other drug abuse and dependency</w:t>
      </w:r>
      <w:r w:rsidR="001B4644" w:rsidRPr="00436423">
        <w:rPr>
          <w:rFonts w:ascii="Courier New" w:eastAsia="Times New Roman" w:hAnsi="Courier New" w:cs="Times New Roman"/>
          <w:i/>
          <w:color w:val="000000"/>
          <w:u w:val="single"/>
        </w:rPr>
        <w:t xml:space="preserve"> </w:t>
      </w:r>
      <w:r w:rsidRPr="001E58A8">
        <w:rPr>
          <w:rFonts w:ascii="Courier New" w:eastAsia="Times New Roman" w:hAnsi="Courier New" w:cs="Times New Roman"/>
          <w:color w:val="000000"/>
          <w:u w:val="single"/>
        </w:rPr>
        <w:t>benefits are comparable to, and are applied no more stringently than, the processes or strategies used to apply each NQTL, in operation, for medical and surgical benefits</w:t>
      </w:r>
      <w:r w:rsidR="00C50CCE">
        <w:rPr>
          <w:rFonts w:ascii="Courier New" w:eastAsia="Times New Roman" w:hAnsi="Courier New" w:cs="Times New Roman"/>
          <w:color w:val="000000"/>
          <w:u w:val="single"/>
        </w:rPr>
        <w:t>.</w:t>
      </w:r>
    </w:p>
    <w:p w14:paraId="1E56ECBA" w14:textId="24D37BBA" w:rsidR="00056238" w:rsidRPr="003E704C" w:rsidRDefault="0033018B" w:rsidP="003E704C">
      <w:pPr>
        <w:ind w:firstLine="720"/>
        <w:rPr>
          <w:rFonts w:ascii="Courier New" w:eastAsia="Times New Roman" w:hAnsi="Courier New" w:cs="Times New Roman"/>
          <w:color w:val="000000"/>
          <w:u w:val="single"/>
        </w:rPr>
      </w:pPr>
      <w:r>
        <w:rPr>
          <w:rFonts w:ascii="Courier New" w:eastAsia="Times New Roman" w:hAnsi="Courier New" w:cs="Times New Roman"/>
          <w:color w:val="000000"/>
          <w:u w:val="single"/>
        </w:rPr>
        <w:t>(vi</w:t>
      </w:r>
      <w:r w:rsidR="00C50CCE">
        <w:rPr>
          <w:rFonts w:ascii="Courier New" w:eastAsia="Times New Roman" w:hAnsi="Courier New" w:cs="Times New Roman"/>
          <w:color w:val="000000"/>
          <w:u w:val="single"/>
        </w:rPr>
        <w:t>)</w:t>
      </w:r>
      <w:r w:rsidR="00C50CCE">
        <w:rPr>
          <w:rFonts w:ascii="Courier New" w:eastAsia="Times New Roman" w:hAnsi="Courier New" w:cs="Times New Roman"/>
          <w:color w:val="000000"/>
          <w:u w:val="single"/>
        </w:rPr>
        <w:tab/>
      </w:r>
      <w:r w:rsidR="00271E96" w:rsidRPr="00271E96">
        <w:rPr>
          <w:rFonts w:ascii="Courier New" w:eastAsia="Times New Roman" w:hAnsi="Courier New" w:cs="Times New Roman"/>
          <w:color w:val="000000"/>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w:t>
      </w:r>
      <w:r w:rsidR="00271E96">
        <w:rPr>
          <w:rFonts w:ascii="Courier New" w:eastAsia="Times New Roman" w:hAnsi="Courier New" w:cs="Times New Roman"/>
          <w:color w:val="000000"/>
          <w:u w:val="single"/>
        </w:rPr>
        <w:t>7.160, and 45 CFR 156.</w:t>
      </w:r>
      <w:r w:rsidR="008A3986">
        <w:rPr>
          <w:rFonts w:ascii="Courier New" w:eastAsia="Times New Roman" w:hAnsi="Courier New" w:cs="Times New Roman"/>
          <w:color w:val="000000"/>
          <w:u w:val="single"/>
        </w:rPr>
        <w:t xml:space="preserve"> </w:t>
      </w:r>
    </w:p>
    <w:p w14:paraId="50A961EC" w14:textId="2D2814E0" w:rsidR="00AB7D81" w:rsidRPr="00436423" w:rsidRDefault="002430F6" w:rsidP="00B435FD">
      <w:pPr>
        <w:ind w:firstLine="720"/>
        <w:rPr>
          <w:rFonts w:ascii="Courier New" w:eastAsia="Times New Roman" w:hAnsi="Courier New" w:cs="Times New Roman"/>
          <w:color w:val="000000"/>
          <w:u w:val="single"/>
        </w:rPr>
      </w:pPr>
      <w:r>
        <w:rPr>
          <w:rFonts w:ascii="Courier New" w:eastAsia="Times New Roman" w:hAnsi="Courier New" w:cs="Times New Roman"/>
          <w:color w:val="000000"/>
        </w:rPr>
        <w:t>Section 2</w:t>
      </w:r>
      <w:r w:rsidR="00383C5A">
        <w:rPr>
          <w:rFonts w:ascii="Courier New" w:eastAsia="Times New Roman" w:hAnsi="Courier New" w:cs="Times New Roman"/>
          <w:color w:val="000000"/>
        </w:rPr>
        <w:t xml:space="preserve">. </w:t>
      </w:r>
      <w:r w:rsidR="00AB7D81">
        <w:rPr>
          <w:rFonts w:ascii="Courier New" w:eastAsia="Times New Roman" w:hAnsi="Courier New" w:cs="Times New Roman"/>
          <w:color w:val="000000"/>
        </w:rPr>
        <w:t>This act shall take effect immediately</w:t>
      </w:r>
      <w:r w:rsidR="003E6774">
        <w:rPr>
          <w:rFonts w:ascii="Courier New" w:eastAsia="Times New Roman" w:hAnsi="Courier New" w:cs="Times New Roman"/>
          <w:color w:val="000000"/>
        </w:rPr>
        <w:t xml:space="preserve"> </w:t>
      </w:r>
      <w:bookmarkStart w:id="0" w:name="_GoBack"/>
      <w:bookmarkEnd w:id="0"/>
    </w:p>
    <w:p w14:paraId="0C630921" w14:textId="4E61E6DE" w:rsidR="00436423" w:rsidRDefault="00436423" w:rsidP="00F805D8">
      <w:pPr>
        <w:ind w:left="1080"/>
        <w:rPr>
          <w:rFonts w:ascii="Courier New" w:eastAsia="Times New Roman" w:hAnsi="Courier New" w:cs="Times New Roman"/>
          <w:color w:val="000000"/>
          <w:u w:val="single"/>
        </w:rPr>
      </w:pPr>
    </w:p>
    <w:p w14:paraId="2BD3986D" w14:textId="77777777" w:rsidR="00F805D8" w:rsidRPr="00F805D8" w:rsidRDefault="00F805D8" w:rsidP="00F805D8">
      <w:pPr>
        <w:ind w:left="1080"/>
        <w:rPr>
          <w:rFonts w:ascii="Courier New" w:eastAsia="Times New Roman" w:hAnsi="Courier New" w:cs="Times New Roman"/>
          <w:color w:val="000000"/>
          <w:u w:val="single"/>
        </w:rPr>
      </w:pPr>
    </w:p>
    <w:p w14:paraId="7B533450" w14:textId="6DE97FBD" w:rsidR="007355D6" w:rsidRPr="007355D6" w:rsidRDefault="007355D6" w:rsidP="007355D6">
      <w:pPr>
        <w:ind w:left="1440"/>
        <w:rPr>
          <w:rFonts w:ascii="Courier New" w:eastAsia="Times New Roman" w:hAnsi="Courier New" w:cs="Times New Roman"/>
          <w:color w:val="000000"/>
          <w:u w:val="single"/>
        </w:rPr>
      </w:pPr>
    </w:p>
    <w:p w14:paraId="150845E0" w14:textId="492C34D4" w:rsidR="007355D6" w:rsidRPr="007355D6" w:rsidRDefault="007355D6" w:rsidP="00607867">
      <w:pPr>
        <w:rPr>
          <w:rFonts w:ascii="Courier New" w:eastAsia="Times New Roman" w:hAnsi="Courier New" w:cs="Times New Roman"/>
          <w:color w:val="000000"/>
          <w:u w:val="single"/>
        </w:rPr>
      </w:pPr>
    </w:p>
    <w:p w14:paraId="4F33F5E3" w14:textId="77777777" w:rsidR="00607867" w:rsidRDefault="00607867" w:rsidP="00607867">
      <w:pPr>
        <w:rPr>
          <w:rFonts w:ascii="Courier New" w:eastAsia="Times New Roman" w:hAnsi="Courier New" w:cs="Times New Roman"/>
          <w:color w:val="000000"/>
        </w:rPr>
      </w:pPr>
    </w:p>
    <w:p w14:paraId="176CED05" w14:textId="77777777" w:rsidR="00607867" w:rsidRPr="00607867" w:rsidRDefault="00607867" w:rsidP="00607867">
      <w:pPr>
        <w:rPr>
          <w:rFonts w:ascii="Courier New" w:eastAsia="Times New Roman" w:hAnsi="Courier New" w:cs="Times New Roman"/>
          <w:color w:val="000000"/>
        </w:rPr>
      </w:pPr>
    </w:p>
    <w:p w14:paraId="48CD8D57" w14:textId="77777777" w:rsidR="00607867" w:rsidRPr="00607867" w:rsidRDefault="00607867" w:rsidP="00607867">
      <w:pPr>
        <w:rPr>
          <w:rFonts w:ascii="Courier New" w:eastAsia="Times New Roman" w:hAnsi="Courier New" w:cs="Times New Roman"/>
          <w:color w:val="000000"/>
        </w:rPr>
      </w:pPr>
    </w:p>
    <w:p w14:paraId="10B4291C" w14:textId="77777777" w:rsidR="000E34BD" w:rsidRPr="000E34BD" w:rsidRDefault="000E34BD" w:rsidP="000E34BD">
      <w:pPr>
        <w:rPr>
          <w:rFonts w:ascii="Times" w:eastAsia="Times New Roman" w:hAnsi="Times" w:cs="Times New Roman"/>
          <w:sz w:val="20"/>
          <w:szCs w:val="20"/>
        </w:rPr>
      </w:pPr>
    </w:p>
    <w:p w14:paraId="6A99DD3A" w14:textId="77777777" w:rsidR="000E34BD" w:rsidRDefault="000E34BD"/>
    <w:sectPr w:rsidR="000E34BD" w:rsidSect="00202113">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479B8" w14:textId="77777777" w:rsidR="00CB128E" w:rsidRDefault="00CB128E" w:rsidP="006A0E0A">
      <w:r>
        <w:separator/>
      </w:r>
    </w:p>
  </w:endnote>
  <w:endnote w:type="continuationSeparator" w:id="0">
    <w:p w14:paraId="2B59B150" w14:textId="77777777" w:rsidR="00CB128E" w:rsidRDefault="00CB128E" w:rsidP="006A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67A59"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73197" w14:textId="77777777" w:rsidR="00CB128E" w:rsidRDefault="00CB128E" w:rsidP="006A0E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FE530" w14:textId="77777777" w:rsidR="00CB128E" w:rsidRDefault="00CB128E" w:rsidP="00CB12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6774">
      <w:rPr>
        <w:rStyle w:val="PageNumber"/>
        <w:noProof/>
      </w:rPr>
      <w:t>3</w:t>
    </w:r>
    <w:r>
      <w:rPr>
        <w:rStyle w:val="PageNumber"/>
      </w:rPr>
      <w:fldChar w:fldCharType="end"/>
    </w:r>
  </w:p>
  <w:p w14:paraId="72A1BF96" w14:textId="77777777" w:rsidR="00CB128E" w:rsidRDefault="00CB128E" w:rsidP="006A0E0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5A460" w14:textId="77777777" w:rsidR="00CB128E" w:rsidRDefault="00CB128E" w:rsidP="006A0E0A">
      <w:r>
        <w:separator/>
      </w:r>
    </w:p>
  </w:footnote>
  <w:footnote w:type="continuationSeparator" w:id="0">
    <w:p w14:paraId="17AE395F" w14:textId="77777777" w:rsidR="00CB128E" w:rsidRDefault="00CB128E" w:rsidP="006A0E0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007"/>
    <w:multiLevelType w:val="hybridMultilevel"/>
    <w:tmpl w:val="8856C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4BD"/>
    <w:rsid w:val="00003798"/>
    <w:rsid w:val="00004B48"/>
    <w:rsid w:val="0003708C"/>
    <w:rsid w:val="000416EF"/>
    <w:rsid w:val="00056238"/>
    <w:rsid w:val="00093DA7"/>
    <w:rsid w:val="000E34BD"/>
    <w:rsid w:val="001402EC"/>
    <w:rsid w:val="00147160"/>
    <w:rsid w:val="00155BE0"/>
    <w:rsid w:val="0017152C"/>
    <w:rsid w:val="00184D6F"/>
    <w:rsid w:val="001A6337"/>
    <w:rsid w:val="001B4644"/>
    <w:rsid w:val="001C4841"/>
    <w:rsid w:val="001E58A8"/>
    <w:rsid w:val="00202113"/>
    <w:rsid w:val="002430F6"/>
    <w:rsid w:val="00250CBB"/>
    <w:rsid w:val="00271E96"/>
    <w:rsid w:val="00274065"/>
    <w:rsid w:val="002B32F3"/>
    <w:rsid w:val="002E61EB"/>
    <w:rsid w:val="0030124A"/>
    <w:rsid w:val="00304A0F"/>
    <w:rsid w:val="0033018B"/>
    <w:rsid w:val="0035281F"/>
    <w:rsid w:val="00383C5A"/>
    <w:rsid w:val="003A05D9"/>
    <w:rsid w:val="003C3683"/>
    <w:rsid w:val="003E6774"/>
    <w:rsid w:val="003E704C"/>
    <w:rsid w:val="003F78D2"/>
    <w:rsid w:val="00424011"/>
    <w:rsid w:val="00436423"/>
    <w:rsid w:val="00461C23"/>
    <w:rsid w:val="004E0929"/>
    <w:rsid w:val="004E5277"/>
    <w:rsid w:val="004F4797"/>
    <w:rsid w:val="0051216A"/>
    <w:rsid w:val="005804D1"/>
    <w:rsid w:val="005A59BB"/>
    <w:rsid w:val="005F17F1"/>
    <w:rsid w:val="00607867"/>
    <w:rsid w:val="00616794"/>
    <w:rsid w:val="00671526"/>
    <w:rsid w:val="00671BCD"/>
    <w:rsid w:val="006A0E0A"/>
    <w:rsid w:val="006B53D8"/>
    <w:rsid w:val="006B7379"/>
    <w:rsid w:val="006D03FB"/>
    <w:rsid w:val="006D3C6E"/>
    <w:rsid w:val="006E67DB"/>
    <w:rsid w:val="007252F8"/>
    <w:rsid w:val="007355D6"/>
    <w:rsid w:val="00741EEC"/>
    <w:rsid w:val="00793443"/>
    <w:rsid w:val="007A4214"/>
    <w:rsid w:val="007F5390"/>
    <w:rsid w:val="008A3986"/>
    <w:rsid w:val="008D715D"/>
    <w:rsid w:val="008E2E5A"/>
    <w:rsid w:val="00906901"/>
    <w:rsid w:val="0096691D"/>
    <w:rsid w:val="009912E2"/>
    <w:rsid w:val="009C131B"/>
    <w:rsid w:val="009C5520"/>
    <w:rsid w:val="00A044E2"/>
    <w:rsid w:val="00A265EB"/>
    <w:rsid w:val="00A46425"/>
    <w:rsid w:val="00A716E7"/>
    <w:rsid w:val="00A85E36"/>
    <w:rsid w:val="00A961C1"/>
    <w:rsid w:val="00AA1158"/>
    <w:rsid w:val="00AA59B2"/>
    <w:rsid w:val="00AB7D81"/>
    <w:rsid w:val="00AD38AA"/>
    <w:rsid w:val="00AD6745"/>
    <w:rsid w:val="00AD69F7"/>
    <w:rsid w:val="00AD709D"/>
    <w:rsid w:val="00AE2A65"/>
    <w:rsid w:val="00AF2DDF"/>
    <w:rsid w:val="00AF3CD0"/>
    <w:rsid w:val="00AF4F09"/>
    <w:rsid w:val="00B435FD"/>
    <w:rsid w:val="00BD1EC9"/>
    <w:rsid w:val="00BE70AF"/>
    <w:rsid w:val="00C0416F"/>
    <w:rsid w:val="00C21EC0"/>
    <w:rsid w:val="00C50CCE"/>
    <w:rsid w:val="00C83B35"/>
    <w:rsid w:val="00CB128E"/>
    <w:rsid w:val="00CB4E6A"/>
    <w:rsid w:val="00CD10E8"/>
    <w:rsid w:val="00D21E87"/>
    <w:rsid w:val="00D26BBD"/>
    <w:rsid w:val="00D7518E"/>
    <w:rsid w:val="00D8220C"/>
    <w:rsid w:val="00E13AE0"/>
    <w:rsid w:val="00E45469"/>
    <w:rsid w:val="00E72B57"/>
    <w:rsid w:val="00E83B4D"/>
    <w:rsid w:val="00ED1618"/>
    <w:rsid w:val="00F6014F"/>
    <w:rsid w:val="00F805D8"/>
    <w:rsid w:val="00F84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41CC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e-number">
    <w:name w:val="line-number"/>
    <w:basedOn w:val="DefaultParagraphFont"/>
    <w:rsid w:val="000E34BD"/>
  </w:style>
  <w:style w:type="character" w:styleId="CommentReference">
    <w:name w:val="annotation reference"/>
    <w:basedOn w:val="DefaultParagraphFont"/>
    <w:uiPriority w:val="99"/>
    <w:semiHidden/>
    <w:unhideWhenUsed/>
    <w:rsid w:val="007355D6"/>
    <w:rPr>
      <w:sz w:val="18"/>
      <w:szCs w:val="18"/>
    </w:rPr>
  </w:style>
  <w:style w:type="paragraph" w:styleId="CommentText">
    <w:name w:val="annotation text"/>
    <w:basedOn w:val="Normal"/>
    <w:link w:val="CommentTextChar"/>
    <w:uiPriority w:val="99"/>
    <w:semiHidden/>
    <w:unhideWhenUsed/>
    <w:rsid w:val="007355D6"/>
    <w:rPr>
      <w:rFonts w:ascii="Arial" w:eastAsia="Arial" w:hAnsi="Arial" w:cs="Arial"/>
      <w:color w:val="000000"/>
    </w:rPr>
  </w:style>
  <w:style w:type="character" w:customStyle="1" w:styleId="CommentTextChar">
    <w:name w:val="Comment Text Char"/>
    <w:basedOn w:val="DefaultParagraphFont"/>
    <w:link w:val="CommentText"/>
    <w:uiPriority w:val="99"/>
    <w:semiHidden/>
    <w:rsid w:val="007355D6"/>
    <w:rPr>
      <w:rFonts w:ascii="Arial" w:eastAsia="Arial" w:hAnsi="Arial" w:cs="Arial"/>
      <w:color w:val="000000"/>
    </w:rPr>
  </w:style>
  <w:style w:type="paragraph" w:styleId="BalloonText">
    <w:name w:val="Balloon Text"/>
    <w:basedOn w:val="Normal"/>
    <w:link w:val="BalloonTextChar"/>
    <w:uiPriority w:val="99"/>
    <w:semiHidden/>
    <w:unhideWhenUsed/>
    <w:rsid w:val="007355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55D6"/>
    <w:rPr>
      <w:rFonts w:ascii="Lucida Grande" w:hAnsi="Lucida Grande" w:cs="Lucida Grande"/>
      <w:sz w:val="18"/>
      <w:szCs w:val="18"/>
    </w:rPr>
  </w:style>
  <w:style w:type="paragraph" w:styleId="ListParagraph">
    <w:name w:val="List Paragraph"/>
    <w:basedOn w:val="Normal"/>
    <w:uiPriority w:val="34"/>
    <w:qFormat/>
    <w:rsid w:val="00436423"/>
    <w:pPr>
      <w:ind w:left="720"/>
      <w:contextualSpacing/>
    </w:pPr>
  </w:style>
  <w:style w:type="paragraph" w:styleId="CommentSubject">
    <w:name w:val="annotation subject"/>
    <w:basedOn w:val="CommentText"/>
    <w:next w:val="CommentText"/>
    <w:link w:val="CommentSubjectChar"/>
    <w:uiPriority w:val="99"/>
    <w:semiHidden/>
    <w:unhideWhenUsed/>
    <w:rsid w:val="00AA1158"/>
    <w:rPr>
      <w:rFonts w:asciiTheme="minorHAnsi" w:eastAsiaTheme="minorEastAsia"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A1158"/>
    <w:rPr>
      <w:rFonts w:ascii="Arial" w:eastAsia="Arial" w:hAnsi="Arial" w:cs="Arial"/>
      <w:b/>
      <w:bCs/>
      <w:color w:val="000000"/>
      <w:sz w:val="20"/>
      <w:szCs w:val="20"/>
    </w:rPr>
  </w:style>
  <w:style w:type="paragraph" w:styleId="Footer">
    <w:name w:val="footer"/>
    <w:basedOn w:val="Normal"/>
    <w:link w:val="FooterChar"/>
    <w:uiPriority w:val="99"/>
    <w:unhideWhenUsed/>
    <w:rsid w:val="006A0E0A"/>
    <w:pPr>
      <w:tabs>
        <w:tab w:val="center" w:pos="4320"/>
        <w:tab w:val="right" w:pos="8640"/>
      </w:tabs>
    </w:pPr>
  </w:style>
  <w:style w:type="character" w:customStyle="1" w:styleId="FooterChar">
    <w:name w:val="Footer Char"/>
    <w:basedOn w:val="DefaultParagraphFont"/>
    <w:link w:val="Footer"/>
    <w:uiPriority w:val="99"/>
    <w:rsid w:val="006A0E0A"/>
  </w:style>
  <w:style w:type="character" w:styleId="PageNumber">
    <w:name w:val="page number"/>
    <w:basedOn w:val="DefaultParagraphFont"/>
    <w:uiPriority w:val="99"/>
    <w:semiHidden/>
    <w:unhideWhenUsed/>
    <w:rsid w:val="006A0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73334">
      <w:bodyDiv w:val="1"/>
      <w:marLeft w:val="0"/>
      <w:marRight w:val="0"/>
      <w:marTop w:val="0"/>
      <w:marBottom w:val="0"/>
      <w:divBdr>
        <w:top w:val="none" w:sz="0" w:space="0" w:color="auto"/>
        <w:left w:val="none" w:sz="0" w:space="0" w:color="auto"/>
        <w:bottom w:val="none" w:sz="0" w:space="0" w:color="auto"/>
        <w:right w:val="none" w:sz="0" w:space="0" w:color="auto"/>
      </w:divBdr>
    </w:div>
    <w:div w:id="180048464">
      <w:bodyDiv w:val="1"/>
      <w:marLeft w:val="0"/>
      <w:marRight w:val="0"/>
      <w:marTop w:val="0"/>
      <w:marBottom w:val="0"/>
      <w:divBdr>
        <w:top w:val="none" w:sz="0" w:space="0" w:color="auto"/>
        <w:left w:val="none" w:sz="0" w:space="0" w:color="auto"/>
        <w:bottom w:val="none" w:sz="0" w:space="0" w:color="auto"/>
        <w:right w:val="none" w:sz="0" w:space="0" w:color="auto"/>
      </w:divBdr>
    </w:div>
    <w:div w:id="454520085">
      <w:bodyDiv w:val="1"/>
      <w:marLeft w:val="0"/>
      <w:marRight w:val="0"/>
      <w:marTop w:val="0"/>
      <w:marBottom w:val="0"/>
      <w:divBdr>
        <w:top w:val="none" w:sz="0" w:space="0" w:color="auto"/>
        <w:left w:val="none" w:sz="0" w:space="0" w:color="auto"/>
        <w:bottom w:val="none" w:sz="0" w:space="0" w:color="auto"/>
        <w:right w:val="none" w:sz="0" w:space="0" w:color="auto"/>
      </w:divBdr>
    </w:div>
    <w:div w:id="687489680">
      <w:bodyDiv w:val="1"/>
      <w:marLeft w:val="0"/>
      <w:marRight w:val="0"/>
      <w:marTop w:val="0"/>
      <w:marBottom w:val="0"/>
      <w:divBdr>
        <w:top w:val="none" w:sz="0" w:space="0" w:color="auto"/>
        <w:left w:val="none" w:sz="0" w:space="0" w:color="auto"/>
        <w:bottom w:val="none" w:sz="0" w:space="0" w:color="auto"/>
        <w:right w:val="none" w:sz="0" w:space="0" w:color="auto"/>
      </w:divBdr>
    </w:div>
    <w:div w:id="696083941">
      <w:bodyDiv w:val="1"/>
      <w:marLeft w:val="0"/>
      <w:marRight w:val="0"/>
      <w:marTop w:val="0"/>
      <w:marBottom w:val="0"/>
      <w:divBdr>
        <w:top w:val="none" w:sz="0" w:space="0" w:color="auto"/>
        <w:left w:val="none" w:sz="0" w:space="0" w:color="auto"/>
        <w:bottom w:val="none" w:sz="0" w:space="0" w:color="auto"/>
        <w:right w:val="none" w:sz="0" w:space="0" w:color="auto"/>
      </w:divBdr>
    </w:div>
    <w:div w:id="800732608">
      <w:bodyDiv w:val="1"/>
      <w:marLeft w:val="0"/>
      <w:marRight w:val="0"/>
      <w:marTop w:val="0"/>
      <w:marBottom w:val="0"/>
      <w:divBdr>
        <w:top w:val="none" w:sz="0" w:space="0" w:color="auto"/>
        <w:left w:val="none" w:sz="0" w:space="0" w:color="auto"/>
        <w:bottom w:val="none" w:sz="0" w:space="0" w:color="auto"/>
        <w:right w:val="none" w:sz="0" w:space="0" w:color="auto"/>
      </w:divBdr>
    </w:div>
    <w:div w:id="859398472">
      <w:bodyDiv w:val="1"/>
      <w:marLeft w:val="0"/>
      <w:marRight w:val="0"/>
      <w:marTop w:val="0"/>
      <w:marBottom w:val="0"/>
      <w:divBdr>
        <w:top w:val="none" w:sz="0" w:space="0" w:color="auto"/>
        <w:left w:val="none" w:sz="0" w:space="0" w:color="auto"/>
        <w:bottom w:val="none" w:sz="0" w:space="0" w:color="auto"/>
        <w:right w:val="none" w:sz="0" w:space="0" w:color="auto"/>
      </w:divBdr>
    </w:div>
    <w:div w:id="1011645973">
      <w:bodyDiv w:val="1"/>
      <w:marLeft w:val="0"/>
      <w:marRight w:val="0"/>
      <w:marTop w:val="0"/>
      <w:marBottom w:val="0"/>
      <w:divBdr>
        <w:top w:val="none" w:sz="0" w:space="0" w:color="auto"/>
        <w:left w:val="none" w:sz="0" w:space="0" w:color="auto"/>
        <w:bottom w:val="none" w:sz="0" w:space="0" w:color="auto"/>
        <w:right w:val="none" w:sz="0" w:space="0" w:color="auto"/>
      </w:divBdr>
    </w:div>
    <w:div w:id="1171945271">
      <w:bodyDiv w:val="1"/>
      <w:marLeft w:val="0"/>
      <w:marRight w:val="0"/>
      <w:marTop w:val="0"/>
      <w:marBottom w:val="0"/>
      <w:divBdr>
        <w:top w:val="none" w:sz="0" w:space="0" w:color="auto"/>
        <w:left w:val="none" w:sz="0" w:space="0" w:color="auto"/>
        <w:bottom w:val="none" w:sz="0" w:space="0" w:color="auto"/>
        <w:right w:val="none" w:sz="0" w:space="0" w:color="auto"/>
      </w:divBdr>
    </w:div>
    <w:div w:id="1424063769">
      <w:bodyDiv w:val="1"/>
      <w:marLeft w:val="0"/>
      <w:marRight w:val="0"/>
      <w:marTop w:val="0"/>
      <w:marBottom w:val="0"/>
      <w:divBdr>
        <w:top w:val="none" w:sz="0" w:space="0" w:color="auto"/>
        <w:left w:val="none" w:sz="0" w:space="0" w:color="auto"/>
        <w:bottom w:val="none" w:sz="0" w:space="0" w:color="auto"/>
        <w:right w:val="none" w:sz="0" w:space="0" w:color="auto"/>
      </w:divBdr>
    </w:div>
    <w:div w:id="1430000654">
      <w:bodyDiv w:val="1"/>
      <w:marLeft w:val="0"/>
      <w:marRight w:val="0"/>
      <w:marTop w:val="0"/>
      <w:marBottom w:val="0"/>
      <w:divBdr>
        <w:top w:val="none" w:sz="0" w:space="0" w:color="auto"/>
        <w:left w:val="none" w:sz="0" w:space="0" w:color="auto"/>
        <w:bottom w:val="none" w:sz="0" w:space="0" w:color="auto"/>
        <w:right w:val="none" w:sz="0" w:space="0" w:color="auto"/>
      </w:divBdr>
    </w:div>
    <w:div w:id="1442068685">
      <w:bodyDiv w:val="1"/>
      <w:marLeft w:val="0"/>
      <w:marRight w:val="0"/>
      <w:marTop w:val="0"/>
      <w:marBottom w:val="0"/>
      <w:divBdr>
        <w:top w:val="none" w:sz="0" w:space="0" w:color="auto"/>
        <w:left w:val="none" w:sz="0" w:space="0" w:color="auto"/>
        <w:bottom w:val="none" w:sz="0" w:space="0" w:color="auto"/>
        <w:right w:val="none" w:sz="0" w:space="0" w:color="auto"/>
      </w:divBdr>
    </w:div>
    <w:div w:id="1590893760">
      <w:bodyDiv w:val="1"/>
      <w:marLeft w:val="0"/>
      <w:marRight w:val="0"/>
      <w:marTop w:val="0"/>
      <w:marBottom w:val="0"/>
      <w:divBdr>
        <w:top w:val="none" w:sz="0" w:space="0" w:color="auto"/>
        <w:left w:val="none" w:sz="0" w:space="0" w:color="auto"/>
        <w:bottom w:val="none" w:sz="0" w:space="0" w:color="auto"/>
        <w:right w:val="none" w:sz="0" w:space="0" w:color="auto"/>
      </w:divBdr>
    </w:div>
    <w:div w:id="1847019282">
      <w:bodyDiv w:val="1"/>
      <w:marLeft w:val="0"/>
      <w:marRight w:val="0"/>
      <w:marTop w:val="0"/>
      <w:marBottom w:val="0"/>
      <w:divBdr>
        <w:top w:val="none" w:sz="0" w:space="0" w:color="auto"/>
        <w:left w:val="none" w:sz="0" w:space="0" w:color="auto"/>
        <w:bottom w:val="none" w:sz="0" w:space="0" w:color="auto"/>
        <w:right w:val="none" w:sz="0" w:space="0" w:color="auto"/>
      </w:divBdr>
    </w:div>
    <w:div w:id="1890459094">
      <w:bodyDiv w:val="1"/>
      <w:marLeft w:val="0"/>
      <w:marRight w:val="0"/>
      <w:marTop w:val="0"/>
      <w:marBottom w:val="0"/>
      <w:divBdr>
        <w:top w:val="none" w:sz="0" w:space="0" w:color="auto"/>
        <w:left w:val="none" w:sz="0" w:space="0" w:color="auto"/>
        <w:bottom w:val="none" w:sz="0" w:space="0" w:color="auto"/>
        <w:right w:val="none" w:sz="0" w:space="0" w:color="auto"/>
      </w:divBdr>
    </w:div>
    <w:div w:id="1963224024">
      <w:bodyDiv w:val="1"/>
      <w:marLeft w:val="0"/>
      <w:marRight w:val="0"/>
      <w:marTop w:val="0"/>
      <w:marBottom w:val="0"/>
      <w:divBdr>
        <w:top w:val="none" w:sz="0" w:space="0" w:color="auto"/>
        <w:left w:val="none" w:sz="0" w:space="0" w:color="auto"/>
        <w:bottom w:val="none" w:sz="0" w:space="0" w:color="auto"/>
        <w:right w:val="none" w:sz="0" w:space="0" w:color="auto"/>
      </w:divBdr>
    </w:div>
    <w:div w:id="20940069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664</Words>
  <Characters>3791</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5</cp:revision>
  <cp:lastPrinted>2016-04-12T20:21:00Z</cp:lastPrinted>
  <dcterms:created xsi:type="dcterms:W3CDTF">2018-08-28T16:01:00Z</dcterms:created>
  <dcterms:modified xsi:type="dcterms:W3CDTF">2018-08-28T16:02:00Z</dcterms:modified>
</cp:coreProperties>
</file>